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E9EA5C9" w14:textId="77777777" w:rsidR="000C5686" w:rsidRDefault="001826EE" w:rsidP="000C5686">
      <w:pPr>
        <w:jc w:val="center"/>
        <w:rPr>
          <w:rFonts w:cs="Arial"/>
          <w:b/>
          <w:bCs/>
          <w:lang w:eastAsia="en-GB"/>
        </w:rPr>
      </w:pPr>
      <w:bookmarkStart w:id="0" w:name="_Hlk163577324"/>
      <w:r w:rsidRPr="005E2D52">
        <w:rPr>
          <w:rFonts w:cs="Arial"/>
          <w:b/>
          <w:bCs/>
          <w:lang w:eastAsia="en-GB"/>
        </w:rPr>
        <w:t xml:space="preserve">Appendix </w:t>
      </w:r>
      <w:r w:rsidR="005E2D52">
        <w:rPr>
          <w:rFonts w:cs="Arial"/>
          <w:b/>
          <w:bCs/>
          <w:lang w:eastAsia="en-GB"/>
        </w:rPr>
        <w:t>2</w:t>
      </w:r>
      <w:r w:rsidR="00D10C32">
        <w:rPr>
          <w:rFonts w:cs="Arial"/>
          <w:b/>
          <w:bCs/>
          <w:lang w:eastAsia="en-GB"/>
        </w:rPr>
        <w:t xml:space="preserve"> – Attestation letter for warranting or re-warranting Type 2 Russian Warrants</w:t>
      </w:r>
    </w:p>
    <w:bookmarkEnd w:id="0"/>
    <w:p w14:paraId="474AE07E" w14:textId="77777777" w:rsidR="000C5686" w:rsidRPr="002F4B8F" w:rsidRDefault="000C5686" w:rsidP="000C5686">
      <w:pPr>
        <w:jc w:val="center"/>
        <w:rPr>
          <w:rFonts w:cs="Arial"/>
          <w:b/>
          <w:bCs/>
          <w:lang w:eastAsia="en-GB"/>
        </w:rPr>
      </w:pPr>
    </w:p>
    <w:p w14:paraId="1E931EC3" w14:textId="77777777" w:rsidR="000C5686" w:rsidRPr="00AF2F12" w:rsidRDefault="001826EE" w:rsidP="000C5686">
      <w:pPr>
        <w:rPr>
          <w:rFonts w:cs="Arial"/>
          <w:lang w:eastAsia="en-GB"/>
        </w:rPr>
      </w:pPr>
      <w:r w:rsidRPr="00AF2F12">
        <w:rPr>
          <w:rFonts w:cs="Arial"/>
          <w:lang w:eastAsia="en-GB"/>
        </w:rPr>
        <w:t xml:space="preserve">London Metal Exchange </w:t>
      </w:r>
    </w:p>
    <w:p w14:paraId="0D0FE247" w14:textId="77777777" w:rsidR="000C5686" w:rsidRPr="00AF2F12" w:rsidRDefault="001826EE" w:rsidP="000C5686">
      <w:pPr>
        <w:rPr>
          <w:rFonts w:cs="Arial"/>
          <w:lang w:eastAsia="en-GB"/>
        </w:rPr>
      </w:pPr>
      <w:r w:rsidRPr="00AF2F12">
        <w:rPr>
          <w:rFonts w:cs="Arial"/>
          <w:lang w:eastAsia="en-GB"/>
        </w:rPr>
        <w:t xml:space="preserve">10 Finsbury Square </w:t>
      </w:r>
    </w:p>
    <w:p w14:paraId="3568838D" w14:textId="77777777" w:rsidR="000C5686" w:rsidRPr="00AF2F12" w:rsidRDefault="001826EE" w:rsidP="000C5686">
      <w:pPr>
        <w:rPr>
          <w:rFonts w:cs="Arial"/>
          <w:lang w:eastAsia="en-GB"/>
        </w:rPr>
      </w:pPr>
      <w:r w:rsidRPr="00AF2F12">
        <w:rPr>
          <w:rFonts w:cs="Arial"/>
          <w:lang w:eastAsia="en-GB"/>
        </w:rPr>
        <w:t xml:space="preserve">London </w:t>
      </w:r>
    </w:p>
    <w:p w14:paraId="058B9630" w14:textId="77777777" w:rsidR="000C5686" w:rsidRDefault="001826EE" w:rsidP="000C5686">
      <w:pPr>
        <w:rPr>
          <w:rFonts w:cs="Arial"/>
          <w:lang w:eastAsia="en-GB"/>
        </w:rPr>
      </w:pPr>
      <w:r w:rsidRPr="00AF2F12">
        <w:rPr>
          <w:rFonts w:cs="Arial"/>
          <w:lang w:eastAsia="en-GB"/>
        </w:rPr>
        <w:t xml:space="preserve">EC2A 1AJ </w:t>
      </w:r>
    </w:p>
    <w:p w14:paraId="570D5A5F" w14:textId="77777777" w:rsidR="000C5686" w:rsidRPr="00AF2F12" w:rsidRDefault="000C5686" w:rsidP="000C5686">
      <w:pPr>
        <w:rPr>
          <w:rFonts w:cs="Arial"/>
          <w:lang w:eastAsia="en-GB"/>
        </w:rPr>
      </w:pPr>
    </w:p>
    <w:p w14:paraId="3650CB6C" w14:textId="77777777" w:rsidR="000C5686" w:rsidRDefault="001826EE" w:rsidP="000C5686">
      <w:pPr>
        <w:rPr>
          <w:rFonts w:cs="Arial"/>
          <w:lang w:eastAsia="en-GB"/>
        </w:rPr>
      </w:pPr>
      <w:r w:rsidRPr="00AF2F12">
        <w:rPr>
          <w:rFonts w:cs="Arial"/>
          <w:lang w:eastAsia="en-GB"/>
        </w:rPr>
        <w:t>By email only (</w:t>
      </w:r>
      <w:r w:rsidRPr="0018355E">
        <w:rPr>
          <w:rFonts w:cs="Arial"/>
          <w:lang w:eastAsia="en-GB"/>
        </w:rPr>
        <w:t>metalwarranting@lme.com</w:t>
      </w:r>
      <w:r w:rsidRPr="00AF2F12">
        <w:rPr>
          <w:rFonts w:cs="Arial"/>
          <w:lang w:eastAsia="en-GB"/>
        </w:rPr>
        <w:t xml:space="preserve">) </w:t>
      </w:r>
    </w:p>
    <w:p w14:paraId="5498D110" w14:textId="77777777" w:rsidR="000C5686" w:rsidRPr="00AF2F12" w:rsidRDefault="000C5686" w:rsidP="000C5686">
      <w:pPr>
        <w:rPr>
          <w:rFonts w:cs="Arial"/>
          <w:lang w:eastAsia="en-GB"/>
        </w:rPr>
      </w:pPr>
    </w:p>
    <w:p w14:paraId="0599430F" w14:textId="77777777" w:rsidR="000C5686" w:rsidRDefault="001826EE" w:rsidP="000C5686">
      <w:pPr>
        <w:rPr>
          <w:rFonts w:cs="Arial"/>
          <w:b/>
          <w:bCs/>
          <w:lang w:eastAsia="en-GB"/>
        </w:rPr>
      </w:pPr>
      <w:r w:rsidRPr="00AF2F12">
        <w:rPr>
          <w:rFonts w:cs="Arial"/>
          <w:b/>
          <w:bCs/>
          <w:lang w:eastAsia="en-GB"/>
        </w:rPr>
        <w:t xml:space="preserve">[DATE] </w:t>
      </w:r>
    </w:p>
    <w:p w14:paraId="63AE4DAB" w14:textId="77777777" w:rsidR="000C5686" w:rsidRPr="00AF2F12" w:rsidRDefault="000C5686" w:rsidP="000C5686">
      <w:pPr>
        <w:rPr>
          <w:rFonts w:cs="Arial"/>
          <w:lang w:eastAsia="en-GB"/>
        </w:rPr>
      </w:pPr>
    </w:p>
    <w:p w14:paraId="30E6944E" w14:textId="4F120309" w:rsidR="000C5686" w:rsidRDefault="001826EE" w:rsidP="000C5686">
      <w:pPr>
        <w:rPr>
          <w:rFonts w:cs="Arial"/>
          <w:lang w:eastAsia="en-GB"/>
        </w:rPr>
      </w:pPr>
      <w:r>
        <w:rPr>
          <w:rFonts w:cs="Arial"/>
          <w:lang w:eastAsia="en-GB"/>
        </w:rPr>
        <w:t>Dear Sir/Madam</w:t>
      </w:r>
    </w:p>
    <w:p w14:paraId="18D43F7E" w14:textId="77777777" w:rsidR="000C5686" w:rsidRPr="00AF2F12" w:rsidRDefault="000C5686" w:rsidP="000C5686">
      <w:pPr>
        <w:rPr>
          <w:rFonts w:cs="Arial"/>
          <w:lang w:eastAsia="en-GB"/>
        </w:rPr>
      </w:pPr>
    </w:p>
    <w:p w14:paraId="21947F5F" w14:textId="77777777" w:rsidR="000C5686" w:rsidRPr="00092901" w:rsidRDefault="001826EE" w:rsidP="000C5686">
      <w:pPr>
        <w:rPr>
          <w:rFonts w:cs="Arial"/>
          <w:b/>
          <w:bCs/>
          <w:lang w:eastAsia="en-GB"/>
        </w:rPr>
      </w:pPr>
      <w:r>
        <w:rPr>
          <w:rFonts w:cs="Arial"/>
          <w:b/>
          <w:bCs/>
          <w:lang w:eastAsia="en-GB"/>
        </w:rPr>
        <w:t>Warranting of Russian Metal</w:t>
      </w:r>
      <w:r w:rsidRPr="00AF2F12">
        <w:rPr>
          <w:rFonts w:cs="Arial"/>
          <w:b/>
          <w:bCs/>
          <w:lang w:eastAsia="en-GB"/>
        </w:rPr>
        <w:t xml:space="preserve">: Request to Warrant Metal </w:t>
      </w:r>
    </w:p>
    <w:p w14:paraId="58E714A2" w14:textId="0C9D4E81" w:rsidR="000C5686" w:rsidRPr="00092901" w:rsidRDefault="001826EE" w:rsidP="000C5686">
      <w:pPr>
        <w:pStyle w:val="ListParagraph"/>
        <w:numPr>
          <w:ilvl w:val="0"/>
          <w:numId w:val="2"/>
        </w:numPr>
        <w:jc w:val="both"/>
        <w:rPr>
          <w:rFonts w:cs="Arial"/>
          <w:lang w:eastAsia="en-GB"/>
        </w:rPr>
      </w:pPr>
      <w:r w:rsidRPr="00AF2F12">
        <w:rPr>
          <w:rFonts w:cs="Arial"/>
          <w:lang w:eastAsia="en-GB"/>
        </w:rPr>
        <w:t xml:space="preserve">We </w:t>
      </w:r>
      <w:r>
        <w:rPr>
          <w:rFonts w:cs="Arial"/>
          <w:lang w:eastAsia="en-GB"/>
        </w:rPr>
        <w:t>w</w:t>
      </w:r>
      <w:r w:rsidRPr="002557E7">
        <w:rPr>
          <w:rFonts w:cs="Arial"/>
          <w:lang w:eastAsia="en-GB"/>
        </w:rPr>
        <w:t>rite in relation to LME Notice 24/</w:t>
      </w:r>
      <w:r w:rsidR="002557E7" w:rsidRPr="002557E7">
        <w:rPr>
          <w:rFonts w:cs="Arial"/>
          <w:lang w:eastAsia="en-GB"/>
        </w:rPr>
        <w:t>171</w:t>
      </w:r>
      <w:r w:rsidRPr="002557E7">
        <w:rPr>
          <w:rFonts w:cs="Arial"/>
          <w:lang w:eastAsia="en-GB"/>
        </w:rPr>
        <w:t xml:space="preserve"> which set</w:t>
      </w:r>
      <w:r w:rsidR="004E602A" w:rsidRPr="002557E7">
        <w:rPr>
          <w:rFonts w:cs="Arial"/>
          <w:lang w:eastAsia="en-GB"/>
        </w:rPr>
        <w:t>s</w:t>
      </w:r>
      <w:r w:rsidRPr="002557E7">
        <w:rPr>
          <w:rFonts w:cs="Arial"/>
          <w:lang w:eastAsia="en-GB"/>
        </w:rPr>
        <w:t xml:space="preserve"> out the LME’s understanding of the amend</w:t>
      </w:r>
      <w:r w:rsidR="00B12834">
        <w:rPr>
          <w:rFonts w:cs="Arial"/>
          <w:lang w:eastAsia="en-GB"/>
        </w:rPr>
        <w:t xml:space="preserve">ment to the </w:t>
      </w:r>
      <w:r w:rsidRPr="002557E7">
        <w:rPr>
          <w:rFonts w:cs="Arial"/>
          <w:lang w:eastAsia="en-GB"/>
        </w:rPr>
        <w:t xml:space="preserve">trade licence for the acquisition of metals </w:t>
      </w:r>
      <w:r w:rsidR="002557E7" w:rsidRPr="002557E7">
        <w:rPr>
          <w:rFonts w:cs="Arial"/>
          <w:lang w:eastAsia="en-GB"/>
        </w:rPr>
        <w:t>published on 12</w:t>
      </w:r>
      <w:r w:rsidRPr="002557E7">
        <w:rPr>
          <w:rFonts w:cs="Arial"/>
          <w:lang w:eastAsia="en-GB"/>
        </w:rPr>
        <w:t xml:space="preserve"> April 2024 by the UK Department for Business </w:t>
      </w:r>
      <w:r w:rsidR="004E602A" w:rsidRPr="002557E7">
        <w:rPr>
          <w:rFonts w:cs="Arial"/>
          <w:lang w:eastAsia="en-GB"/>
        </w:rPr>
        <w:t>and</w:t>
      </w:r>
      <w:r w:rsidRPr="002557E7">
        <w:rPr>
          <w:rFonts w:cs="Arial"/>
          <w:lang w:eastAsia="en-GB"/>
        </w:rPr>
        <w:t xml:space="preserve"> Trade, in respect of the direct or indirect acquisition of a </w:t>
      </w:r>
      <w:r w:rsidR="009A4405" w:rsidRPr="002557E7">
        <w:rPr>
          <w:rFonts w:cs="Arial"/>
          <w:lang w:eastAsia="en-GB"/>
        </w:rPr>
        <w:t xml:space="preserve">Russian </w:t>
      </w:r>
      <w:r w:rsidRPr="002557E7">
        <w:rPr>
          <w:rFonts w:cs="Arial"/>
          <w:lang w:eastAsia="en-GB"/>
        </w:rPr>
        <w:t xml:space="preserve">warrant on a global metal exchange which would otherwise be prohibited by the Russia (Sanctions) (EU Exit) Regulations 2019 (the “Amended Sanctions Package”). </w:t>
      </w:r>
      <w:r w:rsidRPr="002557E7">
        <w:rPr>
          <w:rFonts w:eastAsiaTheme="minorHAnsi" w:cs="Arial"/>
          <w:lang w:eastAsia="en-GB"/>
        </w:rPr>
        <w:t xml:space="preserve">As required by Notice </w:t>
      </w:r>
      <w:r w:rsidRPr="002557E7">
        <w:rPr>
          <w:rFonts w:cs="Arial"/>
          <w:lang w:eastAsia="en-GB"/>
        </w:rPr>
        <w:t>24/</w:t>
      </w:r>
      <w:r w:rsidR="002557E7" w:rsidRPr="002557E7">
        <w:rPr>
          <w:rFonts w:cs="Arial"/>
          <w:lang w:eastAsia="en-GB"/>
        </w:rPr>
        <w:t>171</w:t>
      </w:r>
      <w:r w:rsidRPr="002557E7">
        <w:rPr>
          <w:rFonts w:cs="Arial"/>
          <w:lang w:eastAsia="en-GB"/>
        </w:rPr>
        <w:t xml:space="preserve"> in response to the Amended Sanctions Package</w:t>
      </w:r>
      <w:r w:rsidRPr="002557E7">
        <w:rPr>
          <w:rFonts w:eastAsiaTheme="minorHAnsi" w:cs="Arial"/>
          <w:lang w:eastAsia="en-GB"/>
        </w:rPr>
        <w:t xml:space="preserve">, the LME will only allow Russian metal, including metal produced by the Russian brands listed in </w:t>
      </w:r>
      <w:r w:rsidR="005E2D52" w:rsidRPr="002557E7">
        <w:rPr>
          <w:rFonts w:eastAsiaTheme="minorHAnsi" w:cs="Arial"/>
          <w:lang w:eastAsia="en-GB"/>
        </w:rPr>
        <w:t xml:space="preserve">section 1 of </w:t>
      </w:r>
      <w:r w:rsidRPr="002557E7">
        <w:rPr>
          <w:rFonts w:eastAsiaTheme="minorHAnsi" w:cs="Arial"/>
          <w:lang w:eastAsia="en-GB"/>
        </w:rPr>
        <w:t xml:space="preserve">Appendix 1 of </w:t>
      </w:r>
      <w:bookmarkStart w:id="1" w:name="_Hlk163762053"/>
      <w:r w:rsidRPr="002557E7">
        <w:rPr>
          <w:rFonts w:eastAsiaTheme="minorHAnsi" w:cs="Arial"/>
          <w:lang w:eastAsia="en-GB"/>
        </w:rPr>
        <w:t>Notice 24/</w:t>
      </w:r>
      <w:r w:rsidR="002557E7" w:rsidRPr="002557E7">
        <w:rPr>
          <w:rFonts w:eastAsiaTheme="minorHAnsi" w:cs="Arial"/>
          <w:lang w:eastAsia="en-GB"/>
        </w:rPr>
        <w:t>171</w:t>
      </w:r>
      <w:bookmarkEnd w:id="1"/>
      <w:r w:rsidRPr="002557E7">
        <w:rPr>
          <w:rFonts w:eastAsiaTheme="minorHAnsi" w:cs="Arial"/>
          <w:lang w:eastAsia="en-GB"/>
        </w:rPr>
        <w:t xml:space="preserve">, to be placed on warrant if the metal owner can demonstrate to the LME that the Russian metal was produced before </w:t>
      </w:r>
      <w:r w:rsidR="002557E7" w:rsidRPr="002557E7">
        <w:rPr>
          <w:rFonts w:cs="Arial"/>
          <w:lang w:eastAsia="en-GB"/>
        </w:rPr>
        <w:t>13 April 2024</w:t>
      </w:r>
      <w:r w:rsidRPr="002557E7">
        <w:rPr>
          <w:rFonts w:eastAsiaTheme="minorHAnsi" w:cs="Arial"/>
          <w:lang w:eastAsia="en-GB"/>
        </w:rPr>
        <w:t xml:space="preserve"> and therefore can be acquired by UK Persons, including LME Clear, UK Members and UK Clients. As stated in the Amended Sanctions Package and as set out in </w:t>
      </w:r>
      <w:r w:rsidR="004E602A" w:rsidRPr="002557E7">
        <w:rPr>
          <w:rFonts w:eastAsiaTheme="minorHAnsi" w:cs="Arial"/>
          <w:lang w:eastAsia="en-GB"/>
        </w:rPr>
        <w:t>Notice 24/</w:t>
      </w:r>
      <w:r w:rsidR="002557E7" w:rsidRPr="002557E7">
        <w:rPr>
          <w:rFonts w:eastAsiaTheme="minorHAnsi" w:cs="Arial"/>
          <w:lang w:eastAsia="en-GB"/>
        </w:rPr>
        <w:t>171</w:t>
      </w:r>
      <w:r w:rsidRPr="002557E7">
        <w:rPr>
          <w:rFonts w:eastAsiaTheme="minorHAnsi" w:cs="Arial"/>
          <w:lang w:eastAsia="en-GB"/>
        </w:rPr>
        <w:t xml:space="preserve">, UK Persons cannot acquire Russian metal which was produced </w:t>
      </w:r>
      <w:r w:rsidR="00EE0B66" w:rsidRPr="002557E7">
        <w:rPr>
          <w:rFonts w:eastAsiaTheme="minorHAnsi" w:cs="Arial"/>
          <w:lang w:eastAsia="en-GB"/>
        </w:rPr>
        <w:t xml:space="preserve">on or </w:t>
      </w:r>
      <w:r w:rsidRPr="002557E7">
        <w:rPr>
          <w:rFonts w:eastAsiaTheme="minorHAnsi" w:cs="Arial"/>
          <w:lang w:eastAsia="en-GB"/>
        </w:rPr>
        <w:t xml:space="preserve">after </w:t>
      </w:r>
      <w:r w:rsidR="002557E7" w:rsidRPr="002557E7">
        <w:rPr>
          <w:rFonts w:cs="Arial"/>
          <w:lang w:eastAsia="en-GB"/>
        </w:rPr>
        <w:t>13 April 2024</w:t>
      </w:r>
      <w:r w:rsidRPr="002557E7">
        <w:rPr>
          <w:rFonts w:eastAsiaTheme="minorHAnsi" w:cs="Arial"/>
          <w:lang w:eastAsia="en-GB"/>
        </w:rPr>
        <w:t>, and therefore the LME is not allowing the warranting of such metal.</w:t>
      </w:r>
    </w:p>
    <w:p w14:paraId="340F82BD" w14:textId="77777777" w:rsidR="000C5686" w:rsidRPr="00092901" w:rsidRDefault="000C5686" w:rsidP="000C5686">
      <w:pPr>
        <w:pStyle w:val="ListParagraph"/>
        <w:ind w:start="18pt"/>
        <w:jc w:val="both"/>
        <w:rPr>
          <w:rFonts w:cs="Arial"/>
          <w:lang w:eastAsia="en-GB"/>
        </w:rPr>
      </w:pPr>
    </w:p>
    <w:p w14:paraId="5217581D" w14:textId="77777777" w:rsidR="000C5686" w:rsidRDefault="001826EE" w:rsidP="000C5686">
      <w:pPr>
        <w:pStyle w:val="ListParagraph"/>
        <w:numPr>
          <w:ilvl w:val="0"/>
          <w:numId w:val="2"/>
        </w:numPr>
        <w:jc w:val="both"/>
        <w:rPr>
          <w:rFonts w:cs="Arial"/>
          <w:lang w:eastAsia="en-GB"/>
        </w:rPr>
      </w:pPr>
      <w:r>
        <w:rPr>
          <w:rFonts w:cs="Arial"/>
          <w:lang w:eastAsia="en-GB"/>
        </w:rPr>
        <w:t>In accordan</w:t>
      </w:r>
      <w:r w:rsidRPr="002557E7">
        <w:rPr>
          <w:rFonts w:cs="Arial"/>
          <w:lang w:eastAsia="en-GB"/>
        </w:rPr>
        <w:t xml:space="preserve">ce with </w:t>
      </w:r>
      <w:r w:rsidR="004E602A" w:rsidRPr="002557E7">
        <w:rPr>
          <w:rFonts w:eastAsiaTheme="minorHAnsi" w:cs="Arial"/>
          <w:lang w:eastAsia="en-GB"/>
        </w:rPr>
        <w:t>Notice 24/</w:t>
      </w:r>
      <w:r w:rsidR="002557E7" w:rsidRPr="002557E7">
        <w:rPr>
          <w:rFonts w:eastAsiaTheme="minorHAnsi" w:cs="Arial"/>
          <w:lang w:eastAsia="en-GB"/>
        </w:rPr>
        <w:t>171</w:t>
      </w:r>
      <w:r w:rsidRPr="002557E7">
        <w:rPr>
          <w:rFonts w:cs="Arial"/>
          <w:lang w:eastAsia="en-GB"/>
        </w:rPr>
        <w:t>, we request</w:t>
      </w:r>
      <w:r w:rsidRPr="00AF2F12">
        <w:rPr>
          <w:rFonts w:cs="Arial"/>
          <w:lang w:eastAsia="en-GB"/>
        </w:rPr>
        <w:t xml:space="preserve"> that the LME confirms that</w:t>
      </w:r>
      <w:r>
        <w:rPr>
          <w:rFonts w:cs="Arial"/>
          <w:lang w:eastAsia="en-GB"/>
        </w:rPr>
        <w:t xml:space="preserve">, </w:t>
      </w:r>
      <w:proofErr w:type="gramStart"/>
      <w:r>
        <w:rPr>
          <w:rFonts w:cs="Arial"/>
          <w:lang w:eastAsia="en-GB"/>
        </w:rPr>
        <w:t>on the basis of</w:t>
      </w:r>
      <w:proofErr w:type="gramEnd"/>
      <w:r>
        <w:rPr>
          <w:rFonts w:cs="Arial"/>
          <w:lang w:eastAsia="en-GB"/>
        </w:rPr>
        <w:t xml:space="preserve"> the information provided to it,</w:t>
      </w:r>
      <w:r w:rsidRPr="00AF2F12">
        <w:rPr>
          <w:rFonts w:cs="Arial"/>
          <w:lang w:eastAsia="en-GB"/>
        </w:rPr>
        <w:t xml:space="preserve"> the metal detailed in the attached sp</w:t>
      </w:r>
      <w:r>
        <w:rPr>
          <w:rFonts w:cs="Arial"/>
          <w:lang w:eastAsia="en-GB"/>
        </w:rPr>
        <w:t>readsheet will be placed on LME w</w:t>
      </w:r>
      <w:r w:rsidRPr="00AF2F12">
        <w:rPr>
          <w:rFonts w:cs="Arial"/>
          <w:lang w:eastAsia="en-GB"/>
        </w:rPr>
        <w:t>arrant (the “</w:t>
      </w:r>
      <w:r w:rsidRPr="002557E7">
        <w:rPr>
          <w:rFonts w:cs="Arial"/>
          <w:lang w:eastAsia="en-GB"/>
        </w:rPr>
        <w:t>Metal</w:t>
      </w:r>
      <w:r w:rsidRPr="00AF2F12">
        <w:rPr>
          <w:rFonts w:cs="Arial"/>
          <w:lang w:eastAsia="en-GB"/>
        </w:rPr>
        <w:t xml:space="preserve">”). </w:t>
      </w:r>
      <w:r>
        <w:rPr>
          <w:rFonts w:cs="Arial"/>
          <w:lang w:eastAsia="en-GB"/>
        </w:rPr>
        <w:t xml:space="preserve">For the avoidance of doubt, we confirm that we do not rely on such actions by the LME to form part of our due diligence in complying </w:t>
      </w:r>
      <w:r w:rsidRPr="002557E7">
        <w:rPr>
          <w:rFonts w:cs="Arial"/>
          <w:lang w:eastAsia="en-GB"/>
        </w:rPr>
        <w:t xml:space="preserve">with </w:t>
      </w:r>
      <w:r w:rsidR="004E602A" w:rsidRPr="002557E7">
        <w:rPr>
          <w:rFonts w:eastAsiaTheme="minorHAnsi" w:cs="Arial"/>
          <w:lang w:eastAsia="en-GB"/>
        </w:rPr>
        <w:t>Notice 24/</w:t>
      </w:r>
      <w:r w:rsidR="002557E7" w:rsidRPr="002557E7">
        <w:rPr>
          <w:rFonts w:eastAsiaTheme="minorHAnsi" w:cs="Arial"/>
          <w:lang w:eastAsia="en-GB"/>
        </w:rPr>
        <w:t>171</w:t>
      </w:r>
      <w:r w:rsidRPr="002557E7">
        <w:rPr>
          <w:rFonts w:cs="Arial"/>
          <w:lang w:eastAsia="en-GB"/>
        </w:rPr>
        <w:t>.</w:t>
      </w:r>
      <w:r>
        <w:rPr>
          <w:rFonts w:cs="Arial"/>
          <w:lang w:eastAsia="en-GB"/>
        </w:rPr>
        <w:t xml:space="preserve"> </w:t>
      </w:r>
    </w:p>
    <w:p w14:paraId="649C2700" w14:textId="77777777" w:rsidR="000C5686" w:rsidRDefault="000C5686" w:rsidP="000C5686">
      <w:pPr>
        <w:pStyle w:val="ListParagraph"/>
        <w:ind w:start="18pt"/>
        <w:jc w:val="both"/>
        <w:rPr>
          <w:rFonts w:cs="Arial"/>
          <w:lang w:eastAsia="en-GB"/>
        </w:rPr>
      </w:pPr>
    </w:p>
    <w:p w14:paraId="55911C5E" w14:textId="77777777" w:rsidR="000C5686" w:rsidRPr="00AF2F12" w:rsidRDefault="001826EE" w:rsidP="000C5686">
      <w:pPr>
        <w:pStyle w:val="ListParagraph"/>
        <w:numPr>
          <w:ilvl w:val="0"/>
          <w:numId w:val="2"/>
        </w:numPr>
        <w:jc w:val="both"/>
      </w:pPr>
      <w:r w:rsidRPr="001618EB">
        <w:rPr>
          <w:rFonts w:cs="Arial"/>
          <w:lang w:eastAsia="en-GB"/>
        </w:rPr>
        <w:t xml:space="preserve">We confirm </w:t>
      </w:r>
      <w:r w:rsidRPr="00627677">
        <w:t>and provide the attached supporting evidence</w:t>
      </w:r>
      <w:r w:rsidRPr="001618EB">
        <w:rPr>
          <w:rFonts w:cs="Arial"/>
          <w:lang w:eastAsia="en-GB"/>
        </w:rPr>
        <w:t xml:space="preserve"> that placing the Metal on warrant will not involve any breach of the Amended Sanctions Package. </w:t>
      </w:r>
      <w:r>
        <w:rPr>
          <w:rFonts w:cs="Arial"/>
          <w:lang w:eastAsia="en-GB"/>
        </w:rPr>
        <w:t xml:space="preserve">We note the obligation on </w:t>
      </w:r>
      <w:r w:rsidRPr="00684F99">
        <w:rPr>
          <w:rFonts w:cs="Arial"/>
          <w:lang w:eastAsia="en-GB"/>
        </w:rPr>
        <w:t>Members under Regulation 12.6(</w:t>
      </w:r>
      <w:r w:rsidR="005E2D52">
        <w:rPr>
          <w:rFonts w:cs="Arial"/>
          <w:lang w:eastAsia="en-GB"/>
        </w:rPr>
        <w:t>i</w:t>
      </w:r>
      <w:r w:rsidRPr="00684F99">
        <w:rPr>
          <w:rFonts w:cs="Arial"/>
          <w:lang w:eastAsia="en-GB"/>
        </w:rPr>
        <w:t xml:space="preserve">) of Part 2 of the LME Rulebook and Rule 3.1B(c) of the LME Clear Rulebook to ensure that any </w:t>
      </w:r>
      <w:r w:rsidRPr="00312932">
        <w:rPr>
          <w:rFonts w:cs="Arial"/>
          <w:lang w:eastAsia="en-GB"/>
        </w:rPr>
        <w:t xml:space="preserve">business </w:t>
      </w:r>
      <w:r w:rsidR="004C5563" w:rsidRPr="00312932">
        <w:rPr>
          <w:rFonts w:cs="Arial"/>
          <w:lang w:eastAsia="en-GB"/>
        </w:rPr>
        <w:t xml:space="preserve">conducted </w:t>
      </w:r>
      <w:r w:rsidRPr="00312932">
        <w:rPr>
          <w:rFonts w:cs="Arial"/>
          <w:lang w:eastAsia="en-GB"/>
        </w:rPr>
        <w:t xml:space="preserve">by or through them </w:t>
      </w:r>
      <w:r w:rsidRPr="00684F99">
        <w:rPr>
          <w:rFonts w:cs="Arial"/>
          <w:lang w:eastAsia="en-GB"/>
        </w:rPr>
        <w:t>does not breach any sanctions or would cause the LME or LME Clear to be in breach of sanctions</w:t>
      </w:r>
      <w:r>
        <w:rPr>
          <w:rFonts w:cs="Arial"/>
          <w:lang w:eastAsia="en-GB"/>
        </w:rPr>
        <w:t xml:space="preserve">. We also acknowledge that warranting metal which was produced </w:t>
      </w:r>
      <w:r w:rsidR="00EE0B66">
        <w:rPr>
          <w:rFonts w:cs="Arial"/>
          <w:lang w:eastAsia="en-GB"/>
        </w:rPr>
        <w:t xml:space="preserve">on or </w:t>
      </w:r>
      <w:r>
        <w:rPr>
          <w:rFonts w:cs="Arial"/>
          <w:lang w:eastAsia="en-GB"/>
        </w:rPr>
        <w:t xml:space="preserve">after </w:t>
      </w:r>
      <w:r w:rsidR="002557E7">
        <w:rPr>
          <w:rFonts w:cs="Arial"/>
          <w:lang w:eastAsia="en-GB"/>
        </w:rPr>
        <w:t>13 April 2024</w:t>
      </w:r>
      <w:r w:rsidR="005E2D52">
        <w:rPr>
          <w:rFonts w:cs="Arial"/>
          <w:lang w:eastAsia="en-GB"/>
        </w:rPr>
        <w:t xml:space="preserve"> </w:t>
      </w:r>
      <w:r>
        <w:rPr>
          <w:rFonts w:cs="Arial"/>
          <w:lang w:eastAsia="en-GB"/>
        </w:rPr>
        <w:t>would be a breach of the Amended Sanctions Package.</w:t>
      </w:r>
      <w:r w:rsidR="002557E7">
        <w:rPr>
          <w:rFonts w:cs="Arial"/>
          <w:lang w:eastAsia="en-GB"/>
        </w:rPr>
        <w:t xml:space="preserve"> </w:t>
      </w:r>
      <w:r>
        <w:rPr>
          <w:rFonts w:cs="Arial"/>
          <w:lang w:eastAsia="en-GB"/>
        </w:rPr>
        <w:t>W</w:t>
      </w:r>
      <w:r w:rsidRPr="001618EB">
        <w:rPr>
          <w:rFonts w:cs="Arial"/>
          <w:lang w:eastAsia="en-GB"/>
        </w:rPr>
        <w:t xml:space="preserve">e confirm that </w:t>
      </w:r>
      <w:r>
        <w:rPr>
          <w:rFonts w:cs="Arial"/>
          <w:lang w:eastAsia="en-GB"/>
        </w:rPr>
        <w:t>t</w:t>
      </w:r>
      <w:r>
        <w:t>he Metal was produced before</w:t>
      </w:r>
      <w:r w:rsidR="002557E7">
        <w:t xml:space="preserve"> 13 April 2024</w:t>
      </w:r>
      <w:r>
        <w:t xml:space="preserve">, as evidenced by the Certificate of </w:t>
      </w:r>
      <w:r w:rsidRPr="002557E7">
        <w:t>Analysis (“CoA”) in</w:t>
      </w:r>
      <w:r>
        <w:t xml:space="preserve"> respect of the Metal. [Metal owner to insert additional information on the exact production cast reference number of the underlying Metal which will form the warrant and where the specific production cast reference number can be identified on the CoA]. </w:t>
      </w:r>
    </w:p>
    <w:p w14:paraId="3AFA152B" w14:textId="77777777" w:rsidR="000C5686" w:rsidRPr="00AF2F12" w:rsidRDefault="001826EE" w:rsidP="000C5686">
      <w:pPr>
        <w:pStyle w:val="LMEBulleta"/>
        <w:numPr>
          <w:ilvl w:val="0"/>
          <w:numId w:val="2"/>
        </w:numPr>
        <w:jc w:val="both"/>
      </w:pPr>
      <w:r w:rsidRPr="00AF2F12">
        <w:t>We await a response from the LME</w:t>
      </w:r>
      <w:r>
        <w:t xml:space="preserve"> prior to warranting the Metal</w:t>
      </w:r>
      <w:r w:rsidRPr="00AF2F12">
        <w:t xml:space="preserve">. </w:t>
      </w:r>
    </w:p>
    <w:p w14:paraId="270AF65A" w14:textId="77777777" w:rsidR="002557E7" w:rsidRDefault="002557E7" w:rsidP="000C5686">
      <w:pPr>
        <w:rPr>
          <w:rFonts w:cs="Arial"/>
          <w:lang w:eastAsia="en-GB"/>
        </w:rPr>
      </w:pPr>
    </w:p>
    <w:p w14:paraId="6A99AB77" w14:textId="77777777" w:rsidR="002557E7" w:rsidRDefault="002557E7" w:rsidP="000C5686">
      <w:pPr>
        <w:rPr>
          <w:rFonts w:cs="Arial"/>
          <w:lang w:eastAsia="en-GB"/>
        </w:rPr>
      </w:pPr>
    </w:p>
    <w:p w14:paraId="2453ED18" w14:textId="77777777" w:rsidR="002557E7" w:rsidRDefault="002557E7" w:rsidP="000C5686">
      <w:pPr>
        <w:rPr>
          <w:rFonts w:cs="Arial"/>
          <w:lang w:eastAsia="en-GB"/>
        </w:rPr>
      </w:pPr>
    </w:p>
    <w:p w14:paraId="42BB64AC" w14:textId="77777777" w:rsidR="002557E7" w:rsidRDefault="002557E7" w:rsidP="000C5686">
      <w:pPr>
        <w:rPr>
          <w:rFonts w:cs="Arial"/>
          <w:lang w:eastAsia="en-GB"/>
        </w:rPr>
      </w:pPr>
    </w:p>
    <w:p w14:paraId="2A11E1BE" w14:textId="77777777" w:rsidR="002557E7" w:rsidRDefault="002557E7" w:rsidP="000C5686">
      <w:pPr>
        <w:rPr>
          <w:rFonts w:cs="Arial"/>
          <w:lang w:eastAsia="en-GB"/>
        </w:rPr>
      </w:pPr>
    </w:p>
    <w:p w14:paraId="0B0E05E7" w14:textId="77777777" w:rsidR="000C5686" w:rsidRDefault="001826EE" w:rsidP="000C5686">
      <w:pPr>
        <w:rPr>
          <w:rFonts w:cs="Arial"/>
          <w:lang w:eastAsia="en-GB"/>
        </w:rPr>
      </w:pPr>
      <w:r w:rsidRPr="00AF2F12">
        <w:rPr>
          <w:rFonts w:cs="Arial"/>
          <w:lang w:eastAsia="en-GB"/>
        </w:rPr>
        <w:lastRenderedPageBreak/>
        <w:t xml:space="preserve">Yours faithfully </w:t>
      </w:r>
    </w:p>
    <w:p w14:paraId="34051429" w14:textId="77777777" w:rsidR="000C5686" w:rsidRPr="00AF2F12" w:rsidRDefault="000C5686" w:rsidP="000C5686">
      <w:pPr>
        <w:rPr>
          <w:rFonts w:cs="Arial"/>
          <w:lang w:eastAsia="en-GB"/>
        </w:rPr>
      </w:pPr>
    </w:p>
    <w:p w14:paraId="41E326EF" w14:textId="77777777" w:rsidR="000C5686" w:rsidRDefault="001826EE" w:rsidP="000C5686">
      <w:pPr>
        <w:rPr>
          <w:rFonts w:cs="Arial"/>
          <w:b/>
          <w:bCs/>
          <w:lang w:eastAsia="en-GB"/>
        </w:rPr>
      </w:pPr>
      <w:r w:rsidRPr="00AF2F12">
        <w:rPr>
          <w:rFonts w:cs="Arial"/>
          <w:b/>
          <w:bCs/>
          <w:lang w:eastAsia="en-GB"/>
        </w:rPr>
        <w:t xml:space="preserve">[Signed] </w:t>
      </w:r>
    </w:p>
    <w:p w14:paraId="425987F3" w14:textId="77777777" w:rsidR="000C5686" w:rsidRDefault="001826EE" w:rsidP="000C5686">
      <w:pPr>
        <w:rPr>
          <w:rFonts w:cs="Arial"/>
          <w:b/>
          <w:bCs/>
          <w:lang w:eastAsia="en-GB"/>
        </w:rPr>
      </w:pPr>
      <w:r w:rsidRPr="00AF2F12">
        <w:rPr>
          <w:rFonts w:cs="Arial"/>
          <w:b/>
          <w:bCs/>
          <w:lang w:eastAsia="en-GB"/>
        </w:rPr>
        <w:t>[FULL NAME AND TITLE OF AN OFFICER OF METAL OWNER COMPANY</w:t>
      </w:r>
      <w:bookmarkStart w:id="2" w:name="_Hlk163754837"/>
      <w:r w:rsidR="004C5563">
        <w:rPr>
          <w:rFonts w:cs="Arial"/>
          <w:b/>
          <w:bCs/>
          <w:lang w:eastAsia="en-GB"/>
        </w:rPr>
        <w:t>. N</w:t>
      </w:r>
      <w:r w:rsidR="004A583F">
        <w:rPr>
          <w:rFonts w:cs="Arial"/>
          <w:b/>
          <w:bCs/>
          <w:lang w:eastAsia="en-GB"/>
        </w:rPr>
        <w:t>ot applicable if the warranting Member is also the metal owner</w:t>
      </w:r>
      <w:bookmarkEnd w:id="2"/>
      <w:r w:rsidRPr="00AF2F12">
        <w:rPr>
          <w:rFonts w:cs="Arial"/>
          <w:b/>
          <w:bCs/>
          <w:lang w:eastAsia="en-GB"/>
        </w:rPr>
        <w:t>]</w:t>
      </w:r>
    </w:p>
    <w:p w14:paraId="7FC1490B" w14:textId="77777777" w:rsidR="002557E7" w:rsidRDefault="002557E7" w:rsidP="000C5686">
      <w:pPr>
        <w:rPr>
          <w:rFonts w:cs="Arial"/>
          <w:b/>
          <w:bCs/>
          <w:lang w:eastAsia="en-GB"/>
        </w:rPr>
      </w:pPr>
    </w:p>
    <w:p w14:paraId="351C2E0C" w14:textId="77777777" w:rsidR="000C5686" w:rsidRDefault="001826EE" w:rsidP="000C5686">
      <w:pPr>
        <w:rPr>
          <w:rFonts w:cs="Arial"/>
          <w:b/>
          <w:bCs/>
          <w:lang w:eastAsia="en-GB"/>
        </w:rPr>
      </w:pPr>
      <w:r w:rsidRPr="00AF2F12">
        <w:rPr>
          <w:rFonts w:cs="Arial"/>
          <w:b/>
          <w:bCs/>
          <w:lang w:eastAsia="en-GB"/>
        </w:rPr>
        <w:t xml:space="preserve">[Signed] </w:t>
      </w:r>
    </w:p>
    <w:p w14:paraId="151F505D" w14:textId="77777777" w:rsidR="000C5686" w:rsidRPr="00012951" w:rsidRDefault="001826EE" w:rsidP="000C5686">
      <w:pPr>
        <w:rPr>
          <w:rFonts w:cs="Arial"/>
          <w:lang w:eastAsia="en-GB"/>
        </w:rPr>
      </w:pPr>
      <w:r w:rsidRPr="00AF2F12">
        <w:rPr>
          <w:rFonts w:cs="Arial"/>
          <w:b/>
          <w:bCs/>
          <w:lang w:eastAsia="en-GB"/>
        </w:rPr>
        <w:t xml:space="preserve">[FULL NAME AND TITLE OF AN OFFICER OF </w:t>
      </w:r>
      <w:r>
        <w:rPr>
          <w:rFonts w:cs="Arial"/>
          <w:b/>
          <w:bCs/>
          <w:lang w:eastAsia="en-GB"/>
        </w:rPr>
        <w:t>THE WARRANTING MEMBER</w:t>
      </w:r>
      <w:r w:rsidRPr="00AF2F12">
        <w:rPr>
          <w:rFonts w:cs="Arial"/>
          <w:b/>
          <w:bCs/>
          <w:lang w:eastAsia="en-GB"/>
        </w:rPr>
        <w:t>]</w:t>
      </w:r>
    </w:p>
    <w:p w14:paraId="6D5AB6A1" w14:textId="77777777" w:rsidR="000C5686" w:rsidRDefault="000C5686" w:rsidP="000C5686">
      <w:pPr>
        <w:rPr>
          <w:rFonts w:cs="Arial"/>
          <w:b/>
          <w:bCs/>
          <w:lang w:eastAsia="en-GB"/>
        </w:rPr>
      </w:pPr>
    </w:p>
    <w:p w14:paraId="4C1D3D31" w14:textId="77777777" w:rsidR="006A1B0F" w:rsidRDefault="006A1B0F"/>
    <w:sectPr w:rsidR="006A1B0F" w:rsidSect="000C5686">
      <w:headerReference w:type="even" r:id="rId7"/>
      <w:headerReference w:type="default" r:id="rId8"/>
      <w:footerReference w:type="even" r:id="rId9"/>
      <w:footerReference w:type="default" r:id="rId10"/>
      <w:headerReference w:type="first" r:id="rId11"/>
      <w:footerReference w:type="first" r:id="rId12"/>
      <w:pgSz w:w="595.30pt" w:h="841.90pt"/>
      <w:pgMar w:top="72pt" w:right="72pt" w:bottom="72pt" w:left="72pt" w:header="35.40pt" w:footer="35.4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A6A981C" w14:textId="77777777" w:rsidR="001826EE" w:rsidRDefault="001826EE">
      <w:pPr>
        <w:spacing w:line="12pt" w:lineRule="auto"/>
      </w:pPr>
      <w:r>
        <w:separator/>
      </w:r>
    </w:p>
  </w:endnote>
  <w:endnote w:type="continuationSeparator" w:id="0">
    <w:p w14:paraId="6E0A2E9E" w14:textId="77777777" w:rsidR="001826EE" w:rsidRDefault="001826EE">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97B86A6" w14:textId="77777777" w:rsidR="00D358F8" w:rsidRDefault="00D358F8">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DA55CB" w14:textId="77777777" w:rsidR="00D358F8" w:rsidRDefault="00D358F8">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A8DB433" w14:textId="77777777" w:rsidR="00D358F8" w:rsidRDefault="00D358F8">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8C160A3" w14:textId="77777777" w:rsidR="001826EE" w:rsidRDefault="001826EE">
      <w:pPr>
        <w:spacing w:line="12pt" w:lineRule="auto"/>
      </w:pPr>
      <w:r>
        <w:separator/>
      </w:r>
    </w:p>
  </w:footnote>
  <w:footnote w:type="continuationSeparator" w:id="0">
    <w:p w14:paraId="4FECE2E4" w14:textId="77777777" w:rsidR="001826EE" w:rsidRDefault="001826EE">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02AF565" w14:textId="77777777" w:rsidR="00D358F8" w:rsidRDefault="00D358F8">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A66F498" w14:textId="77777777" w:rsidR="00D358F8" w:rsidRDefault="001826EE" w:rsidP="00D358F8">
    <w:pPr>
      <w:pStyle w:val="Header"/>
      <w:jc w:val="end"/>
    </w:pPr>
    <w:bookmarkStart w:id="3" w:name="TITUS1HeaderPrimary"/>
    <w:r w:rsidRPr="00D358F8">
      <w:rPr>
        <w:color w:val="000000"/>
        <w:sz w:val="17"/>
      </w:rPr>
      <w:t> </w:t>
    </w:r>
    <w:bookmarkEnd w:id="3"/>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723C22A" w14:textId="77777777" w:rsidR="000C5686" w:rsidRPr="00D358F8" w:rsidRDefault="001826EE" w:rsidP="00D358F8">
    <w:pPr>
      <w:pStyle w:val="Header"/>
      <w:jc w:val="end"/>
    </w:pPr>
    <w:bookmarkStart w:id="4" w:name="TITUS1HeaderFirstPage"/>
    <w:r>
      <w:rPr>
        <w:noProof/>
        <w:color w:val="000000"/>
        <w:sz w:val="17"/>
        <w14:ligatures w14:val="standardContextual"/>
      </w:rPr>
      <w:drawing>
        <wp:anchor distT="0" distB="635000" distL="114300" distR="0" simplePos="0" relativeHeight="251658240" behindDoc="0" locked="0" layoutInCell="0" allowOverlap="1" wp14:anchorId="42628725" wp14:editId="58E76065">
          <wp:simplePos x="0" y="0"/>
          <wp:positionH relativeFrom="margin">
            <wp:align>right</wp:align>
          </wp:positionH>
          <wp:positionV relativeFrom="margin">
            <wp:posOffset>-1397000</wp:posOffset>
          </wp:positionV>
          <wp:extent cx="2286000" cy="762000"/>
          <wp:effectExtent l="0" t="0" r="0" b="0"/>
          <wp:wrapNone/>
          <wp:docPr id="1" name="TITUSTitlePageF1header"/>
          <wp:cNvGraphicFramePr/>
          <a:graphic xmlns:a="http://purl.oclc.org/ooxml/drawingml/main">
            <a:graphicData uri="http://schemas.microsoft.com/office/word/2010/wordprocessingShape">
              <wp:wsp>
                <wp:cNvSpPr txBox="1"/>
                <wp:spPr>
                  <a:xfrm>
                    <a:off x="0" y="0"/>
                    <a:ext cx="2286000" cy="762000"/>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pPr>
                <wp:txbx>
                  <wne:txbxContent>
                    <w:p w14:paraId="3F69E73F" w14:textId="77777777" w:rsidR="00D358F8" w:rsidRDefault="001826EE" w:rsidP="00D358F8">
                      <w:pPr>
                        <w:spacing w:line="12pt" w:lineRule="auto"/>
                        <w:jc w:val="end"/>
                      </w:pPr>
                      <w:r w:rsidRPr="00D358F8">
                        <w:rPr>
                          <w:color w:val="F4364C"/>
                          <w:sz w:val="17"/>
                        </w:rPr>
                        <w:t> </w:t>
                      </w:r>
                    </w:p>
                  </wne:txbxContent>
                </wp:txbx>
                <wp:bodyPr rot="0" spcFirstLastPara="0" vertOverflow="overflow" horzOverflow="overflow" vert="horz" wrap="square" lIns="114300" tIns="45720" rIns="76200" bIns="45720" numCol="1" spcCol="0" rtlCol="0" fromWordArt="0" anchor="ctr" anchorCtr="0" forceAA="0" compatLnSpc="1">
                  <a:prstTxWarp prst="textNoShape">
                    <a:avLst/>
                  </a:prstTxWarp>
                </wp:bodyPr>
              </wp:wsp>
            </a:graphicData>
          </a:graphic>
        </wp:anchor>
      </w:drawing>
    </w:r>
    <w:r w:rsidRPr="00D358F8">
      <w:rPr>
        <w:color w:val="000000"/>
        <w:sz w:val="17"/>
      </w:rPr>
      <w:t> </w:t>
    </w:r>
    <w:bookmarkEnd w:id="4"/>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5C4591F"/>
    <w:multiLevelType w:val="multilevel"/>
    <w:tmpl w:val="2FB494D8"/>
    <w:lvl w:ilvl="0">
      <w:start w:val="1"/>
      <w:numFmt w:val="decimal"/>
      <w:pStyle w:val="LMENumberedBullets"/>
      <w:lvlText w:val="%1."/>
      <w:lvlJc w:val="start"/>
      <w:pPr>
        <w:ind w:start="36pt" w:hanging="18pt"/>
      </w:pPr>
      <w:rPr>
        <w:rFonts w:hint="default"/>
      </w:rPr>
    </w:lvl>
    <w:lvl w:ilvl="1">
      <w:start w:val="1"/>
      <w:numFmt w:val="lowerLetter"/>
      <w:pStyle w:val="LMEBulleta"/>
      <w:lvlText w:val="(%2)"/>
      <w:lvlJc w:val="start"/>
      <w:pPr>
        <w:ind w:start="72pt" w:hanging="18pt"/>
      </w:pPr>
      <w:rPr>
        <w:rFonts w:hint="default"/>
      </w:rPr>
    </w:lvl>
    <w:lvl w:ilvl="2">
      <w:start w:val="1"/>
      <w:numFmt w:val="lowerRoman"/>
      <w:pStyle w:val="LMEBulleti"/>
      <w:lvlText w:val="(%3)"/>
      <w:lvlJc w:val="start"/>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 w15:restartNumberingAfterBreak="0">
    <w:nsid w:val="4D1C64F6"/>
    <w:multiLevelType w:val="hybridMultilevel"/>
    <w:tmpl w:val="194CDDF4"/>
    <w:lvl w:ilvl="0" w:tplc="AD2C0958">
      <w:start w:val="1"/>
      <w:numFmt w:val="decimal"/>
      <w:lvlText w:val="%1."/>
      <w:lvlJc w:val="start"/>
      <w:pPr>
        <w:ind w:start="18pt" w:hanging="18pt"/>
      </w:pPr>
    </w:lvl>
    <w:lvl w:ilvl="1" w:tplc="BB647042" w:tentative="1">
      <w:start w:val="1"/>
      <w:numFmt w:val="lowerLetter"/>
      <w:lvlText w:val="%2."/>
      <w:lvlJc w:val="start"/>
      <w:pPr>
        <w:ind w:start="54pt" w:hanging="18pt"/>
      </w:pPr>
    </w:lvl>
    <w:lvl w:ilvl="2" w:tplc="15AA9D2A" w:tentative="1">
      <w:start w:val="1"/>
      <w:numFmt w:val="lowerRoman"/>
      <w:lvlText w:val="%3."/>
      <w:lvlJc w:val="end"/>
      <w:pPr>
        <w:ind w:start="90pt" w:hanging="9pt"/>
      </w:pPr>
    </w:lvl>
    <w:lvl w:ilvl="3" w:tplc="F51CDF6C" w:tentative="1">
      <w:start w:val="1"/>
      <w:numFmt w:val="decimal"/>
      <w:lvlText w:val="%4."/>
      <w:lvlJc w:val="start"/>
      <w:pPr>
        <w:ind w:start="126pt" w:hanging="18pt"/>
      </w:pPr>
    </w:lvl>
    <w:lvl w:ilvl="4" w:tplc="C4C670A6" w:tentative="1">
      <w:start w:val="1"/>
      <w:numFmt w:val="lowerLetter"/>
      <w:lvlText w:val="%5."/>
      <w:lvlJc w:val="start"/>
      <w:pPr>
        <w:ind w:start="162pt" w:hanging="18pt"/>
      </w:pPr>
    </w:lvl>
    <w:lvl w:ilvl="5" w:tplc="F4480502" w:tentative="1">
      <w:start w:val="1"/>
      <w:numFmt w:val="lowerRoman"/>
      <w:lvlText w:val="%6."/>
      <w:lvlJc w:val="end"/>
      <w:pPr>
        <w:ind w:start="198pt" w:hanging="9pt"/>
      </w:pPr>
    </w:lvl>
    <w:lvl w:ilvl="6" w:tplc="7B7A8CF2" w:tentative="1">
      <w:start w:val="1"/>
      <w:numFmt w:val="decimal"/>
      <w:lvlText w:val="%7."/>
      <w:lvlJc w:val="start"/>
      <w:pPr>
        <w:ind w:start="234pt" w:hanging="18pt"/>
      </w:pPr>
    </w:lvl>
    <w:lvl w:ilvl="7" w:tplc="9272A032" w:tentative="1">
      <w:start w:val="1"/>
      <w:numFmt w:val="lowerLetter"/>
      <w:lvlText w:val="%8."/>
      <w:lvlJc w:val="start"/>
      <w:pPr>
        <w:ind w:start="270pt" w:hanging="18pt"/>
      </w:pPr>
    </w:lvl>
    <w:lvl w:ilvl="8" w:tplc="461E4A50" w:tentative="1">
      <w:start w:val="1"/>
      <w:numFmt w:val="lowerRoman"/>
      <w:lvlText w:val="%9."/>
      <w:lvlJc w:val="end"/>
      <w:pPr>
        <w:ind w:start="306pt" w:hanging="9pt"/>
      </w:pPr>
    </w:lvl>
  </w:abstractNum>
  <w:num w:numId="1" w16cid:durableId="600795548">
    <w:abstractNumId w:val="0"/>
    <w:lvlOverride w:ilvl="0">
      <w:lvl w:ilvl="0">
        <w:start w:val="1"/>
        <w:numFmt w:val="decimal"/>
        <w:pStyle w:val="LMENumberedBullets"/>
        <w:lvlText w:val="%1."/>
        <w:lvlJc w:val="start"/>
        <w:pPr>
          <w:ind w:start="21.25pt" w:hanging="21.25pt"/>
        </w:pPr>
        <w:rPr>
          <w:rFonts w:hint="default"/>
        </w:rPr>
      </w:lvl>
    </w:lvlOverride>
    <w:lvlOverride w:ilvl="1">
      <w:lvl w:ilvl="1">
        <w:start w:val="1"/>
        <w:numFmt w:val="lowerLetter"/>
        <w:pStyle w:val="LMEBulleta"/>
        <w:lvlText w:val="(%2)"/>
        <w:lvlJc w:val="start"/>
        <w:pPr>
          <w:ind w:start="42.55pt" w:hanging="21.30pt"/>
        </w:pPr>
        <w:rPr>
          <w:rFonts w:hint="default"/>
        </w:rPr>
      </w:lvl>
    </w:lvlOverride>
    <w:lvlOverride w:ilvl="2">
      <w:lvl w:ilvl="2">
        <w:start w:val="1"/>
        <w:numFmt w:val="lowerRoman"/>
        <w:pStyle w:val="LMEBulleti"/>
        <w:lvlText w:val="(%3)"/>
        <w:lvlJc w:val="start"/>
        <w:pPr>
          <w:ind w:start="63.80pt" w:hanging="21.25pt"/>
        </w:pPr>
        <w:rPr>
          <w:rFonts w:hint="default"/>
        </w:rPr>
      </w:lvl>
    </w:lvlOverride>
    <w:lvlOverride w:ilvl="3">
      <w:lvl w:ilvl="3">
        <w:start w:val="1"/>
        <w:numFmt w:val="decimal"/>
        <w:lvlText w:val="%4."/>
        <w:lvlJc w:val="start"/>
        <w:pPr>
          <w:ind w:start="144pt" w:hanging="18pt"/>
        </w:pPr>
        <w:rPr>
          <w:rFonts w:hint="default"/>
        </w:rPr>
      </w:lvl>
    </w:lvlOverride>
    <w:lvlOverride w:ilvl="4">
      <w:lvl w:ilvl="4">
        <w:start w:val="1"/>
        <w:numFmt w:val="lowerLetter"/>
        <w:lvlText w:val="%5."/>
        <w:lvlJc w:val="start"/>
        <w:pPr>
          <w:ind w:start="180pt" w:hanging="18pt"/>
        </w:pPr>
        <w:rPr>
          <w:rFonts w:hint="default"/>
        </w:rPr>
      </w:lvl>
    </w:lvlOverride>
    <w:lvlOverride w:ilvl="5">
      <w:lvl w:ilvl="5">
        <w:start w:val="1"/>
        <w:numFmt w:val="lowerRoman"/>
        <w:lvlText w:val="%6."/>
        <w:lvlJc w:val="end"/>
        <w:pPr>
          <w:ind w:start="216pt" w:hanging="9pt"/>
        </w:pPr>
        <w:rPr>
          <w:rFonts w:hint="default"/>
        </w:rPr>
      </w:lvl>
    </w:lvlOverride>
    <w:lvlOverride w:ilvl="6">
      <w:lvl w:ilvl="6">
        <w:start w:val="1"/>
        <w:numFmt w:val="decimal"/>
        <w:lvlText w:val="%7."/>
        <w:lvlJc w:val="start"/>
        <w:pPr>
          <w:ind w:start="252pt" w:hanging="18pt"/>
        </w:pPr>
        <w:rPr>
          <w:rFonts w:hint="default"/>
        </w:rPr>
      </w:lvl>
    </w:lvlOverride>
    <w:lvlOverride w:ilvl="7">
      <w:lvl w:ilvl="7">
        <w:start w:val="1"/>
        <w:numFmt w:val="lowerLetter"/>
        <w:lvlText w:val="%8."/>
        <w:lvlJc w:val="start"/>
        <w:pPr>
          <w:ind w:start="288pt" w:hanging="18pt"/>
        </w:pPr>
        <w:rPr>
          <w:rFonts w:hint="default"/>
        </w:rPr>
      </w:lvl>
    </w:lvlOverride>
    <w:lvlOverride w:ilvl="8">
      <w:lvl w:ilvl="8">
        <w:start w:val="1"/>
        <w:numFmt w:val="lowerRoman"/>
        <w:lvlText w:val="%9."/>
        <w:lvlJc w:val="end"/>
        <w:pPr>
          <w:ind w:start="324pt" w:hanging="9pt"/>
        </w:pPr>
        <w:rPr>
          <w:rFonts w:hint="default"/>
        </w:rPr>
      </w:lvl>
    </w:lvlOverride>
  </w:num>
  <w:num w:numId="2" w16cid:durableId="139539521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86"/>
    <w:rsid w:val="00012951"/>
    <w:rsid w:val="00092901"/>
    <w:rsid w:val="000A5817"/>
    <w:rsid w:val="000B517C"/>
    <w:rsid w:val="000B623E"/>
    <w:rsid w:val="000C556E"/>
    <w:rsid w:val="000C5686"/>
    <w:rsid w:val="001618EB"/>
    <w:rsid w:val="001826EE"/>
    <w:rsid w:val="0018355E"/>
    <w:rsid w:val="001D5232"/>
    <w:rsid w:val="001E1C92"/>
    <w:rsid w:val="002557E7"/>
    <w:rsid w:val="002F4B8F"/>
    <w:rsid w:val="00312932"/>
    <w:rsid w:val="0033799C"/>
    <w:rsid w:val="00446F6D"/>
    <w:rsid w:val="004A583F"/>
    <w:rsid w:val="004C5563"/>
    <w:rsid w:val="004D3BE2"/>
    <w:rsid w:val="004E602A"/>
    <w:rsid w:val="00574857"/>
    <w:rsid w:val="005E2D52"/>
    <w:rsid w:val="00627677"/>
    <w:rsid w:val="00684F99"/>
    <w:rsid w:val="006A1B0F"/>
    <w:rsid w:val="00857E77"/>
    <w:rsid w:val="009A4405"/>
    <w:rsid w:val="00A43A55"/>
    <w:rsid w:val="00AF2F12"/>
    <w:rsid w:val="00B12834"/>
    <w:rsid w:val="00D10C32"/>
    <w:rsid w:val="00D358F8"/>
    <w:rsid w:val="00D97115"/>
    <w:rsid w:val="00E44B73"/>
    <w:rsid w:val="00EB07BE"/>
    <w:rsid w:val="00EB449D"/>
    <w:rsid w:val="00EE0B66"/>
    <w:rsid w:val="00F576BE"/>
    <w:rsid w:val="00FD7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545F7F"/>
  <w15:chartTrackingRefBased/>
  <w15:docId w15:val="{FB9DBD89-71F8-4F2B-BFF5-E456D203B76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686"/>
    <w:pPr>
      <w:spacing w:after="0pt" w:line="14.40pt" w:lineRule="auto"/>
    </w:pPr>
    <w:rPr>
      <w:rFonts w:ascii="Arial" w:eastAsia="Times New Roman" w:hAnsi="Arial"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686"/>
    <w:pPr>
      <w:tabs>
        <w:tab w:val="center" w:pos="225.65pt"/>
        <w:tab w:val="end" w:pos="451.30pt"/>
      </w:tabs>
      <w:spacing w:line="12pt" w:lineRule="auto"/>
    </w:pPr>
  </w:style>
  <w:style w:type="character" w:customStyle="1" w:styleId="HeaderChar">
    <w:name w:val="Header Char"/>
    <w:basedOn w:val="DefaultParagraphFont"/>
    <w:link w:val="Header"/>
    <w:uiPriority w:val="99"/>
    <w:rsid w:val="000C5686"/>
  </w:style>
  <w:style w:type="paragraph" w:styleId="Footer">
    <w:name w:val="footer"/>
    <w:basedOn w:val="Normal"/>
    <w:link w:val="FooterChar"/>
    <w:uiPriority w:val="99"/>
    <w:unhideWhenUsed/>
    <w:rsid w:val="000C5686"/>
    <w:pPr>
      <w:tabs>
        <w:tab w:val="center" w:pos="225.65pt"/>
        <w:tab w:val="end" w:pos="451.30pt"/>
      </w:tabs>
      <w:spacing w:line="12pt" w:lineRule="auto"/>
    </w:pPr>
  </w:style>
  <w:style w:type="character" w:customStyle="1" w:styleId="FooterChar">
    <w:name w:val="Footer Char"/>
    <w:basedOn w:val="DefaultParagraphFont"/>
    <w:link w:val="Footer"/>
    <w:uiPriority w:val="99"/>
    <w:rsid w:val="000C5686"/>
  </w:style>
  <w:style w:type="paragraph" w:styleId="ListParagraph">
    <w:name w:val="List Paragraph"/>
    <w:basedOn w:val="Normal"/>
    <w:uiPriority w:val="34"/>
    <w:qFormat/>
    <w:rsid w:val="000C5686"/>
    <w:pPr>
      <w:spacing w:before="10pt" w:after="8pt"/>
      <w:ind w:start="36pt"/>
      <w:contextualSpacing/>
    </w:pPr>
  </w:style>
  <w:style w:type="character" w:styleId="CommentReference">
    <w:name w:val="annotation reference"/>
    <w:basedOn w:val="DefaultParagraphFont"/>
    <w:uiPriority w:val="99"/>
    <w:semiHidden/>
    <w:unhideWhenUsed/>
    <w:rsid w:val="000C5686"/>
    <w:rPr>
      <w:sz w:val="16"/>
      <w:szCs w:val="16"/>
    </w:rPr>
  </w:style>
  <w:style w:type="paragraph" w:styleId="CommentText">
    <w:name w:val="annotation text"/>
    <w:basedOn w:val="Normal"/>
    <w:link w:val="CommentTextChar"/>
    <w:uiPriority w:val="99"/>
    <w:unhideWhenUsed/>
    <w:rsid w:val="000C5686"/>
    <w:pPr>
      <w:spacing w:line="12pt" w:lineRule="auto"/>
    </w:pPr>
  </w:style>
  <w:style w:type="character" w:customStyle="1" w:styleId="CommentTextChar">
    <w:name w:val="Comment Text Char"/>
    <w:basedOn w:val="DefaultParagraphFont"/>
    <w:link w:val="CommentText"/>
    <w:uiPriority w:val="99"/>
    <w:rsid w:val="000C5686"/>
    <w:rPr>
      <w:rFonts w:ascii="Arial" w:eastAsia="Times New Roman" w:hAnsi="Arial" w:cs="Times New Roman"/>
      <w:kern w:val="0"/>
      <w:sz w:val="20"/>
      <w:szCs w:val="20"/>
      <w14:ligatures w14:val="none"/>
    </w:rPr>
  </w:style>
  <w:style w:type="paragraph" w:customStyle="1" w:styleId="LMENumberedBullets">
    <w:name w:val="LME Numbered Bullets"/>
    <w:basedOn w:val="ListParagraph"/>
    <w:qFormat/>
    <w:rsid w:val="000C5686"/>
    <w:pPr>
      <w:numPr>
        <w:numId w:val="1"/>
      </w:numPr>
      <w:spacing w:before="0pt" w:after="9pt" w:line="12pt" w:lineRule="auto"/>
      <w:contextualSpacing w:val="0"/>
    </w:pPr>
    <w:rPr>
      <w:rFonts w:eastAsiaTheme="minorHAnsi" w:cstheme="minorBidi"/>
      <w:szCs w:val="22"/>
    </w:rPr>
  </w:style>
  <w:style w:type="paragraph" w:customStyle="1" w:styleId="LMEBulleta">
    <w:name w:val="LME Bullet (a)"/>
    <w:basedOn w:val="LMENumberedBullets"/>
    <w:qFormat/>
    <w:rsid w:val="000C5686"/>
    <w:pPr>
      <w:numPr>
        <w:ilvl w:val="1"/>
      </w:numPr>
    </w:pPr>
    <w:rPr>
      <w:lang w:eastAsia="en-GB"/>
    </w:rPr>
  </w:style>
  <w:style w:type="paragraph" w:customStyle="1" w:styleId="LMEBulleti">
    <w:name w:val="LME Bullet (i)"/>
    <w:basedOn w:val="LMENumberedBullets"/>
    <w:qFormat/>
    <w:rsid w:val="000C5686"/>
    <w:pPr>
      <w:numPr>
        <w:ilvl w:val="2"/>
      </w:numPr>
    </w:pPr>
    <w:rPr>
      <w:lang w:eastAsia="en-GB"/>
    </w:rPr>
  </w:style>
  <w:style w:type="paragraph" w:styleId="Revision">
    <w:name w:val="Revision"/>
    <w:hidden/>
    <w:uiPriority w:val="99"/>
    <w:semiHidden/>
    <w:rsid w:val="000C5686"/>
    <w:pPr>
      <w:spacing w:after="0pt" w:line="12pt" w:lineRule="auto"/>
    </w:pPr>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5686"/>
    <w:rPr>
      <w:b/>
      <w:bCs/>
    </w:rPr>
  </w:style>
  <w:style w:type="character" w:customStyle="1" w:styleId="CommentSubjectChar">
    <w:name w:val="Comment Subject Char"/>
    <w:basedOn w:val="CommentTextChar"/>
    <w:link w:val="CommentSubject"/>
    <w:uiPriority w:val="99"/>
    <w:semiHidden/>
    <w:rsid w:val="000C5686"/>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13" Type="http://purl.oclc.org/ooxml/officeDocument/relationships/fontTable" Target="fontTable.xml"/><Relationship Id="rId3" Type="http://purl.oclc.org/ooxml/officeDocument/relationships/settings" Target="settings.xml"/><Relationship Id="rId7" Type="http://purl.oclc.org/ooxml/officeDocument/relationships/header" Target="header1.xml"/><Relationship Id="rId12" Type="http://purl.oclc.org/ooxml/officeDocument/relationships/footer" Target="footer3.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header" Target="header3.xml"/><Relationship Id="rId5" Type="http://purl.oclc.org/ooxml/officeDocument/relationships/footnotes" Target="footnotes.xml"/><Relationship Id="rId10" Type="http://purl.oclc.org/ooxml/officeDocument/relationships/footer" Target="footer2.xml"/><Relationship Id="rId4" Type="http://purl.oclc.org/ooxml/officeDocument/relationships/webSettings" Target="webSettings.xml"/><Relationship Id="rId9" Type="http://purl.oclc.org/ooxml/officeDocument/relationships/footer" Target="footer1.xm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3</TotalTime>
  <Pages>2</Pages>
  <Words>506</Words>
  <Characters>2466</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Hallett</dc:creator>
  <cp:keywords>DocumentClassification=LME_Public</cp:keywords>
  <cp:lastModifiedBy>Georgina Hallett</cp:lastModifiedBy>
  <cp:revision>5</cp:revision>
  <cp:lastPrinted>2024-04-13T13:03:00Z</cp:lastPrinted>
  <dcterms:created xsi:type="dcterms:W3CDTF">2024-04-13T12:22:00Z</dcterms:created>
  <dcterms:modified xsi:type="dcterms:W3CDTF">2024-04-13T13:07:00Z</dcterms:modified>
</cp:coreProperties>
</file>

<file path=docProps/custom.xml><?xml version="1.0" encoding="utf-8"?>
<Properties xmlns="http://purl.oclc.org/ooxml/officeDocument/customProperties" xmlns:vt="http://purl.oclc.org/ooxml/officeDocument/docPropsVTypes">
  <property fmtid="{D5CDD505-2E9C-101B-9397-08002B2CF9AE}" pid="2" name="LMEClassification">
    <vt:lpwstr>Public</vt:lpwstr>
  </property>
  <property fmtid="{D5CDD505-2E9C-101B-9397-08002B2CF9AE}" pid="3" name="TitusGUID">
    <vt:lpwstr>82106c71-cbe3-41f0-9c1b-989465f106fb</vt:lpwstr>
  </property>
  <property fmtid="{D5CDD505-2E9C-101B-9397-08002B2CF9AE}" pid="4" name="VisualMarking">
    <vt:lpwstr>No</vt:lpwstr>
  </property>
</Properties>
</file>